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220" w:rsidRPr="00185A6B" w:rsidRDefault="00615976" w:rsidP="00EA396C">
      <w:pPr>
        <w:jc w:val="right"/>
        <w:rPr>
          <w:b/>
          <w:bCs/>
        </w:rPr>
      </w:pPr>
      <w:r w:rsidRPr="00185A6B">
        <w:rPr>
          <w:b/>
          <w:bCs/>
        </w:rPr>
        <w:t>HABERLER</w:t>
      </w:r>
    </w:p>
    <w:p w:rsidR="00524166" w:rsidRPr="00185A6B" w:rsidRDefault="00524166">
      <w:pPr>
        <w:rPr>
          <w:b/>
          <w:bCs/>
        </w:rPr>
      </w:pPr>
    </w:p>
    <w:p w:rsidR="00615976" w:rsidRPr="00185A6B" w:rsidRDefault="00524166" w:rsidP="00615976">
      <w:pPr>
        <w:ind w:firstLine="708"/>
        <w:rPr>
          <w:b/>
          <w:bCs/>
        </w:rPr>
      </w:pPr>
      <w:r w:rsidRPr="00185A6B">
        <w:rPr>
          <w:b/>
          <w:bCs/>
        </w:rPr>
        <w:t>Pekin’de Oruç Yasaklandı</w:t>
      </w:r>
    </w:p>
    <w:p w:rsidR="005D5C74" w:rsidRDefault="00524166" w:rsidP="00615976">
      <w:pPr>
        <w:ind w:firstLine="708"/>
      </w:pPr>
      <w:r w:rsidRPr="00185A6B">
        <w:t xml:space="preserve">Pekin yönetiminin, Müslümanların çoğunlukta olduğu 9 milyon nüfuslu </w:t>
      </w:r>
      <w:proofErr w:type="spellStart"/>
      <w:r w:rsidRPr="00185A6B">
        <w:t>Şincan</w:t>
      </w:r>
      <w:proofErr w:type="spellEnd"/>
      <w:r w:rsidRPr="00185A6B">
        <w:t>-Uygur Özerk Bölgesi’ne yönelik baskılarına bir yenisi daha eklendi.</w:t>
      </w:r>
    </w:p>
    <w:p w:rsidR="005D5C74" w:rsidRDefault="00524166" w:rsidP="00615976">
      <w:pPr>
        <w:ind w:firstLine="708"/>
      </w:pPr>
      <w:r w:rsidRPr="00185A6B">
        <w:t>Sincan-Uygur özerk bölgesinde devlet memurları ve öğrencilerin Ramazan’da oruç tutması yasaklandı. Yasaklama genelgesi bölge yönetiminin internet sitesinde yayımlandı. Genelgede, “Komünist Parti kadrolarının, devlet memurlarının (emekliler dâhil) ve öğrencilerin Ramazan ayına özgü dini faaliyetlerde bulunması yasaklanmıştır” denildi.</w:t>
      </w:r>
    </w:p>
    <w:p w:rsidR="00615976" w:rsidRPr="00185A6B" w:rsidRDefault="00524166" w:rsidP="00615976">
      <w:pPr>
        <w:ind w:firstLine="708"/>
        <w:rPr>
          <w:b/>
          <w:bCs/>
        </w:rPr>
      </w:pPr>
      <w:r w:rsidRPr="00185A6B">
        <w:t>Uygur halkına getirilen “Ramazan kısıtlamaları” kapsamında öğrencilerin Ramazan boyunca camiye gitmeleri de yasaklanırken, fitre ve zekât verilmesinin önü de kesildi. Genelgede ayrıca, Komünist Parti liderlerinden, Ramazan boyunca yemek yemelerinin sağlanması için yerel yönetim liderlerine yiyecek “hediye” etmeleri istendi.</w:t>
      </w:r>
    </w:p>
    <w:p w:rsidR="00615976" w:rsidRPr="00185A6B" w:rsidRDefault="00524166" w:rsidP="00615976">
      <w:pPr>
        <w:ind w:firstLine="708"/>
        <w:rPr>
          <w:b/>
          <w:bCs/>
        </w:rPr>
      </w:pPr>
      <w:r w:rsidRPr="00185A6B">
        <w:rPr>
          <w:b/>
          <w:bCs/>
        </w:rPr>
        <w:t>Mısır Amerika’dan 250 Milyon $ Yardım Alacak!</w:t>
      </w:r>
    </w:p>
    <w:p w:rsidR="00615976" w:rsidRPr="00185A6B" w:rsidRDefault="00524166" w:rsidP="00615976">
      <w:pPr>
        <w:ind w:firstLine="708"/>
        <w:rPr>
          <w:b/>
          <w:bCs/>
        </w:rPr>
      </w:pPr>
      <w:r w:rsidRPr="00185A6B">
        <w:t xml:space="preserve">İsrail gazetesi </w:t>
      </w:r>
      <w:proofErr w:type="spellStart"/>
      <w:r w:rsidRPr="00185A6B">
        <w:t>Jerusalem</w:t>
      </w:r>
      <w:proofErr w:type="spellEnd"/>
      <w:r w:rsidRPr="00185A6B">
        <w:t xml:space="preserve"> Post gazetesi Muhammed </w:t>
      </w:r>
      <w:proofErr w:type="spellStart"/>
      <w:r w:rsidRPr="00185A6B">
        <w:t>Mursi’nin</w:t>
      </w:r>
      <w:proofErr w:type="spellEnd"/>
      <w:r w:rsidRPr="00185A6B">
        <w:t xml:space="preserve"> başkanlık yemini ettikten sonra Amerikan dışişleri bakanı </w:t>
      </w:r>
      <w:proofErr w:type="spellStart"/>
      <w:r w:rsidRPr="00185A6B">
        <w:t>Hilary</w:t>
      </w:r>
      <w:proofErr w:type="spellEnd"/>
      <w:r w:rsidRPr="00185A6B">
        <w:t xml:space="preserve"> Clinton’ın ziyaretine dikkat çekti. Clinton görüşme sonrası 250 milyon dolar yardım yapılacağını açıklamıştı. Gazete, Siyonist Bar </w:t>
      </w:r>
      <w:proofErr w:type="spellStart"/>
      <w:r w:rsidRPr="00185A6B">
        <w:t>Ilan</w:t>
      </w:r>
      <w:proofErr w:type="spellEnd"/>
      <w:r w:rsidRPr="00185A6B">
        <w:t xml:space="preserve"> üniversitesinden Siyasi Bilimler Profesörü </w:t>
      </w:r>
      <w:proofErr w:type="spellStart"/>
      <w:r w:rsidRPr="00185A6B">
        <w:t>Eytan</w:t>
      </w:r>
      <w:proofErr w:type="spellEnd"/>
      <w:r w:rsidRPr="00185A6B">
        <w:t xml:space="preserve"> </w:t>
      </w:r>
      <w:proofErr w:type="spellStart"/>
      <w:r w:rsidRPr="00185A6B">
        <w:t>Gilboa’nın</w:t>
      </w:r>
      <w:proofErr w:type="spellEnd"/>
      <w:r w:rsidRPr="00185A6B">
        <w:t xml:space="preserve"> şu sözlerine yer </w:t>
      </w:r>
      <w:r w:rsidR="00FB0EDD" w:rsidRPr="00185A6B">
        <w:t>verdi: “</w:t>
      </w:r>
      <w:r w:rsidRPr="00185A6B">
        <w:t xml:space="preserve">Clinton, Mısır’ın dış politikasının, çıkarlarıyla uyumlu olacağından emin olmak istiyor. ABD dışişleri bakanlığı, Siyonist varlıkla barış anlaşmasının iptal edilmeyeceğine dair güvence alabilmek için İslamcılara baskı yaptı ve sonuç aldı.” Daha </w:t>
      </w:r>
      <w:r w:rsidR="00FB0EDD" w:rsidRPr="00185A6B">
        <w:t xml:space="preserve">önce </w:t>
      </w:r>
      <w:proofErr w:type="spellStart"/>
      <w:r w:rsidR="00FB0EDD" w:rsidRPr="00185A6B">
        <w:t>Mursi’nin</w:t>
      </w:r>
      <w:proofErr w:type="spellEnd"/>
      <w:r w:rsidRPr="00185A6B">
        <w:t xml:space="preserve"> açıklamış olduğu İsrail’le 1979 barış (!)antlaşmasına sadık kalacağının garantisini 250 milyon $ yardım ve kimi gizli </w:t>
      </w:r>
      <w:r w:rsidR="00FB0EDD" w:rsidRPr="00185A6B">
        <w:t>anlaşmalarla iyice</w:t>
      </w:r>
      <w:r w:rsidRPr="00185A6B">
        <w:t xml:space="preserve"> garantileyen Amerika, bu haberi Mısır’ın ardından İsrail’i ziyaret eden </w:t>
      </w:r>
      <w:proofErr w:type="spellStart"/>
      <w:r w:rsidRPr="00185A6B">
        <w:t>Hilary</w:t>
      </w:r>
      <w:proofErr w:type="spellEnd"/>
      <w:r w:rsidRPr="00185A6B">
        <w:t xml:space="preserve"> Clinton </w:t>
      </w:r>
      <w:r w:rsidR="00FB0EDD" w:rsidRPr="00185A6B">
        <w:t>aracılığıyla bildirmiş</w:t>
      </w:r>
      <w:r w:rsidRPr="00185A6B">
        <w:t xml:space="preserve"> oldu.</w:t>
      </w:r>
    </w:p>
    <w:p w:rsidR="00615976" w:rsidRPr="00185A6B" w:rsidRDefault="00524166" w:rsidP="00615976">
      <w:pPr>
        <w:ind w:firstLine="708"/>
        <w:rPr>
          <w:b/>
          <w:bCs/>
        </w:rPr>
      </w:pPr>
      <w:r w:rsidRPr="00185A6B">
        <w:rPr>
          <w:b/>
          <w:bCs/>
        </w:rPr>
        <w:t>Almanya’daki Sünnet Yasağına Tepkiler Artıyor</w:t>
      </w:r>
    </w:p>
    <w:p w:rsidR="00615976" w:rsidRPr="00185A6B" w:rsidRDefault="00524166" w:rsidP="00615976">
      <w:pPr>
        <w:ind w:firstLine="708"/>
        <w:rPr>
          <w:b/>
          <w:bCs/>
        </w:rPr>
      </w:pPr>
      <w:r w:rsidRPr="00185A6B">
        <w:t xml:space="preserve">Köln Eyalet Mahkemesi, bir davada sünnetin “yaralama” suçu kapsamında görülmesi gerektiğine hükmetmişti. Müslüman, Yahudi ve Hıristiyan temsilcilerinden sonra Yeşiller Partisi Eş Başkanı </w:t>
      </w:r>
      <w:proofErr w:type="spellStart"/>
      <w:r w:rsidRPr="00185A6B">
        <w:t>Claudia</w:t>
      </w:r>
      <w:proofErr w:type="spellEnd"/>
      <w:r w:rsidRPr="00185A6B">
        <w:t xml:space="preserve"> </w:t>
      </w:r>
      <w:proofErr w:type="spellStart"/>
      <w:r w:rsidRPr="00185A6B">
        <w:t>Roth</w:t>
      </w:r>
      <w:proofErr w:type="spellEnd"/>
      <w:r w:rsidRPr="00185A6B">
        <w:t xml:space="preserve"> ile Dışişleri Bakanı </w:t>
      </w:r>
      <w:proofErr w:type="spellStart"/>
      <w:r w:rsidRPr="00185A6B">
        <w:t>Guido</w:t>
      </w:r>
      <w:proofErr w:type="spellEnd"/>
      <w:r w:rsidRPr="00185A6B">
        <w:t xml:space="preserve"> </w:t>
      </w:r>
      <w:proofErr w:type="spellStart"/>
      <w:r w:rsidRPr="00185A6B">
        <w:t>Westerwelle</w:t>
      </w:r>
      <w:proofErr w:type="spellEnd"/>
      <w:r w:rsidRPr="00185A6B">
        <w:t xml:space="preserve"> de mahkemeye sert eleştirilerde bulundu. </w:t>
      </w:r>
      <w:proofErr w:type="spellStart"/>
      <w:r w:rsidRPr="00185A6B">
        <w:t>Claudia</w:t>
      </w:r>
      <w:proofErr w:type="spellEnd"/>
      <w:r w:rsidRPr="00185A6B">
        <w:t xml:space="preserve"> </w:t>
      </w:r>
      <w:proofErr w:type="spellStart"/>
      <w:r w:rsidRPr="00185A6B">
        <w:t>Roth</w:t>
      </w:r>
      <w:proofErr w:type="spellEnd"/>
      <w:r w:rsidRPr="00185A6B">
        <w:t xml:space="preserve"> mahkemenin ‘gerçeklere yabancı’ kaldığına dikkat çekti ve “Bu karar, uzun geçmişi olan bir kültürü yok sayıyor, Yahudi ve Müslüman hayatını sınırlıyor, dışlıyor” dedi. Diyanet İşleri Başkanı Mehmet </w:t>
      </w:r>
      <w:r w:rsidR="00FB0EDD" w:rsidRPr="00185A6B">
        <w:t>Görmez, sünnet</w:t>
      </w:r>
      <w:r w:rsidRPr="00185A6B">
        <w:t xml:space="preserve"> yasağı kararına ilişkin: “Hazreti İbrahim döneminden beri tüm dinler tarafından kabul gören, olmazsa olmaz olan bir durum için bir ülkenin ‘ben bunu uygun bulmuyorum’ deme hakkı olmamalıdır” dedi.</w:t>
      </w:r>
    </w:p>
    <w:p w:rsidR="00615976" w:rsidRPr="00185A6B" w:rsidRDefault="00524166" w:rsidP="00615976">
      <w:pPr>
        <w:ind w:firstLine="708"/>
        <w:rPr>
          <w:b/>
          <w:bCs/>
        </w:rPr>
      </w:pPr>
      <w:r w:rsidRPr="00185A6B">
        <w:rPr>
          <w:b/>
          <w:bCs/>
        </w:rPr>
        <w:t>Alevilik Din Midir?</w:t>
      </w:r>
    </w:p>
    <w:p w:rsidR="00615976" w:rsidRPr="005D5C74" w:rsidRDefault="00524166" w:rsidP="00615976">
      <w:pPr>
        <w:ind w:firstLine="708"/>
        <w:rPr>
          <w:b/>
          <w:bCs/>
          <w:i/>
          <w:iCs/>
        </w:rPr>
      </w:pPr>
      <w:r w:rsidRPr="00185A6B">
        <w:t xml:space="preserve">TBMM Başkanı Cemil Çiçek, CHP Tunceli Milletvekili Hüseyin Aygün’ün, Meclis’te cem evi açılmasına ilişkin talebine, Diyanet’in açıklamasını referans göstererek olumsuz yanıt vermişti. Diyanetin: “Alevilik ayrı bir din değildir ve İslam dininin ibadet yerleri camilerdir’’ cevabı üzerine Aygün: “Alevilik ayrı bir dindir” dedi. Bu açıklama üzerine Dünya </w:t>
      </w:r>
      <w:proofErr w:type="spellStart"/>
      <w:r w:rsidRPr="00185A6B">
        <w:t>Ehl</w:t>
      </w:r>
      <w:proofErr w:type="spellEnd"/>
      <w:r w:rsidRPr="00185A6B">
        <w:t xml:space="preserve">-i </w:t>
      </w:r>
      <w:proofErr w:type="spellStart"/>
      <w:r w:rsidRPr="00185A6B">
        <w:t>Beyt</w:t>
      </w:r>
      <w:proofErr w:type="spellEnd"/>
      <w:r w:rsidRPr="00185A6B">
        <w:t xml:space="preserve"> Vakfı Başkanı </w:t>
      </w:r>
      <w:proofErr w:type="spellStart"/>
      <w:r w:rsidRPr="00185A6B">
        <w:t>Fermani</w:t>
      </w:r>
      <w:proofErr w:type="spellEnd"/>
      <w:r w:rsidRPr="00185A6B">
        <w:t xml:space="preserve"> </w:t>
      </w:r>
      <w:proofErr w:type="spellStart"/>
      <w:r w:rsidRPr="00185A6B">
        <w:t>Altun</w:t>
      </w:r>
      <w:proofErr w:type="spellEnd"/>
      <w:r w:rsidRPr="00185A6B">
        <w:t xml:space="preserve">: “İnşallah bir sürç-i lisandır diye düşünüyorum. Alevilik ayrı bir din değildir. Din İslamiyet’tir” derken, Alevi Dernekleri Federasyonu Başkanı Metin Tahran </w:t>
      </w:r>
      <w:r w:rsidR="00FB0EDD" w:rsidRPr="00185A6B">
        <w:t>ise: “</w:t>
      </w:r>
      <w:r w:rsidRPr="00185A6B">
        <w:t xml:space="preserve">Alevilerin dini İslam’dır, kitabı Kur’an’dır, Peygamberi Hazreti Muhammed’dir” açıklamasında bulundu. </w:t>
      </w:r>
      <w:r w:rsidRPr="005D5C74">
        <w:rPr>
          <w:i/>
          <w:iCs/>
        </w:rPr>
        <w:t xml:space="preserve">Bu tartışma böyle devam ede dursun fakat hakikat şudur ki; kendini Müslümanlardan ayrı gören, inanılması gereken iman esaslarına inanılması gerektiği gibi inanmayan, kabul edilmesi gereken farzları ve haramları kabul </w:t>
      </w:r>
      <w:r w:rsidRPr="005D5C74">
        <w:rPr>
          <w:i/>
          <w:iCs/>
        </w:rPr>
        <w:lastRenderedPageBreak/>
        <w:t>etmeyenler hakkında Hüseyin Aygün’ün dediği doğrudur. Bunun yanı sıra kendini bu dinden görmeyenleri zorla bu dinden saymaya çalışmak da doğru değildir.</w:t>
      </w:r>
    </w:p>
    <w:p w:rsidR="00615976" w:rsidRPr="00185A6B" w:rsidRDefault="00524166" w:rsidP="00615976">
      <w:pPr>
        <w:ind w:firstLine="708"/>
        <w:rPr>
          <w:b/>
          <w:bCs/>
        </w:rPr>
      </w:pPr>
      <w:r w:rsidRPr="00185A6B">
        <w:rPr>
          <w:b/>
          <w:bCs/>
        </w:rPr>
        <w:t>Müslüman Avukatların Dinini Yaşaması Yasak! Gerisi Bahane</w:t>
      </w:r>
    </w:p>
    <w:p w:rsidR="00615976" w:rsidRPr="00185A6B" w:rsidRDefault="00524166" w:rsidP="00615976">
      <w:pPr>
        <w:ind w:firstLine="708"/>
        <w:rPr>
          <w:b/>
          <w:bCs/>
        </w:rPr>
      </w:pPr>
      <w:r w:rsidRPr="00185A6B">
        <w:t xml:space="preserve">Ergenekon ve Balyoz davalarındaki açıklama ve eylemleri sebebiyle ‘darbeci baro’ olarak da adlandırılan İstanbul Barosu, başörtülü stajyer avukat avına çıktı. Baro, geçtiğimiz aylarda stajyer avukatlar </w:t>
      </w:r>
      <w:r w:rsidR="00FB0EDD" w:rsidRPr="00185A6B">
        <w:t>için “</w:t>
      </w:r>
      <w:r w:rsidRPr="00185A6B">
        <w:t xml:space="preserve">... Staj Eğitim Merkezi’nde de mesleğe yaraşır bir kıyafetle gelinmesi (örneğin kirli kıyafet, şort, kot pantolon, türban ve başörtüsü ile gelinmemesi) gerekmektedir” ifadeleri ile tepki toplamıştı. Aynı baro, şimdi de tek tek başörtülüleri belirliyor. Baro başkanı Ümit </w:t>
      </w:r>
      <w:proofErr w:type="spellStart"/>
      <w:r w:rsidRPr="00185A6B">
        <w:t>Kocasakal</w:t>
      </w:r>
      <w:proofErr w:type="spellEnd"/>
      <w:r w:rsidRPr="00185A6B">
        <w:t xml:space="preserve"> imzalı tehditkâr yazıda aynen şu ifadeler kullanılıyor: “İstanbul Barosu Baro Eğitim Merkezi’ndeki derslere meslek kurallarının 20. maddesine aykırı bir şekilde katıldığınız tespit edilmiştir. TBB genelgesi gereğince ‘Meslek kurallarına uymayan üyelerin uyarılmaları, direnenler hakkında disiplin yönünden gereğinin yapılması’ öngörülmektedir.” Bu uyarı yazısına maruz kalan avukatlardan B.U. </w:t>
      </w:r>
      <w:r w:rsidR="00FB0EDD" w:rsidRPr="00185A6B">
        <w:t>ise: “</w:t>
      </w:r>
      <w:r w:rsidRPr="00185A6B">
        <w:t>Kot pantolon ve spor kıyafetlerle gelen arkadaşların hepsine sordum, hiçbirisi böyle bir yazı almamış. Uygulama sadece bize yönelik” diyor.</w:t>
      </w:r>
    </w:p>
    <w:p w:rsidR="00615976" w:rsidRPr="00185A6B" w:rsidRDefault="00524166" w:rsidP="00615976">
      <w:pPr>
        <w:ind w:firstLine="708"/>
        <w:rPr>
          <w:b/>
          <w:bCs/>
        </w:rPr>
      </w:pPr>
      <w:proofErr w:type="spellStart"/>
      <w:r w:rsidRPr="00185A6B">
        <w:rPr>
          <w:b/>
          <w:bCs/>
        </w:rPr>
        <w:t>Başbağlar</w:t>
      </w:r>
      <w:proofErr w:type="spellEnd"/>
      <w:r w:rsidRPr="00185A6B">
        <w:rPr>
          <w:b/>
          <w:bCs/>
        </w:rPr>
        <w:t xml:space="preserve"> Katliamı Hâlâ Aydınlatılamadı</w:t>
      </w:r>
    </w:p>
    <w:p w:rsidR="00615976" w:rsidRPr="00185A6B" w:rsidRDefault="00524166" w:rsidP="00615976">
      <w:pPr>
        <w:ind w:firstLine="708"/>
        <w:rPr>
          <w:b/>
          <w:bCs/>
        </w:rPr>
      </w:pPr>
      <w:r w:rsidRPr="00185A6B">
        <w:t xml:space="preserve">Bundan tam 19 yıl önce 33 kişinin ölümüyle sonuçlanan </w:t>
      </w:r>
      <w:proofErr w:type="spellStart"/>
      <w:r w:rsidRPr="00185A6B">
        <w:t>Başbağlar</w:t>
      </w:r>
      <w:proofErr w:type="spellEnd"/>
      <w:r w:rsidRPr="00185A6B">
        <w:t xml:space="preserve"> katliamı hâlâ gizemini koruyor. Ne failler bulundu ne de olayı aydınlatacak bir komisyon kuruldu. Katliamda katledilenlerin aileler ise Sivas Madımak olayına gösterilen hassasiyetin </w:t>
      </w:r>
      <w:proofErr w:type="spellStart"/>
      <w:r w:rsidRPr="00185A6B">
        <w:t>Başbağlar’a</w:t>
      </w:r>
      <w:proofErr w:type="spellEnd"/>
      <w:r w:rsidRPr="00185A6B">
        <w:t xml:space="preserve"> gösterilmemesinden şikâyetçiler. Erzincan’ın </w:t>
      </w:r>
      <w:proofErr w:type="spellStart"/>
      <w:r w:rsidRPr="00185A6B">
        <w:t>Başbağlar</w:t>
      </w:r>
      <w:proofErr w:type="spellEnd"/>
      <w:r w:rsidRPr="00185A6B">
        <w:t xml:space="preserve"> köyü, 5 Temmuz 1993 akşamı ezan okunurken basıldı. Camiden cemaat köy meydanında toplandı. Evlerden de isim </w:t>
      </w:r>
      <w:proofErr w:type="spellStart"/>
      <w:r w:rsidRPr="00185A6B">
        <w:t>isim</w:t>
      </w:r>
      <w:proofErr w:type="spellEnd"/>
      <w:r w:rsidRPr="00185A6B">
        <w:t xml:space="preserve"> anons yapılarak insanlar dışarı çıkartıldı. Katliam saat 22.00’ye kadar sürdü. Köyün giriş çıkışı tutulup telefonlar kesildi. Sonrasında ‘ateş serbest’ emriyle köylü kurşuna dizildi. Olay yerinde 28 köylü şehit oldu. 5 kişi ateşe verilen evlerin içinde yakıldı. Güvenlik güçleri sabah ancak köye ulaşabildi(!)</w:t>
      </w:r>
    </w:p>
    <w:p w:rsidR="00615976" w:rsidRPr="005D5C74" w:rsidRDefault="00524166" w:rsidP="00615976">
      <w:pPr>
        <w:ind w:firstLine="708"/>
        <w:rPr>
          <w:b/>
          <w:bCs/>
          <w:i/>
          <w:iCs/>
        </w:rPr>
      </w:pPr>
      <w:r w:rsidRPr="005D5C74">
        <w:rPr>
          <w:i/>
          <w:iCs/>
        </w:rPr>
        <w:t xml:space="preserve">Yıldönümünde Sivas’a akın eden medya organlarına ve politikacılara sorulmalıdır; ‘Sivas’takiler sizin vatandaşlarınızdır da peki Erzincan’dakiler kimin vatandaşıdır?’ Bu arada Provokasyon olduğu artık iyice ortaya çıkan Madımak olaylarında 33 kişi öldürüldü. Bu olaydan sadece 3 gün sonra </w:t>
      </w:r>
      <w:proofErr w:type="spellStart"/>
      <w:r w:rsidRPr="005D5C74">
        <w:rPr>
          <w:i/>
          <w:iCs/>
        </w:rPr>
        <w:t>Başbağlar’da</w:t>
      </w:r>
      <w:proofErr w:type="spellEnd"/>
      <w:r w:rsidRPr="005D5C74">
        <w:rPr>
          <w:i/>
          <w:iCs/>
        </w:rPr>
        <w:t xml:space="preserve"> da 33 kişi şehit edildi. Bu ilginç bir tesadüf mü?</w:t>
      </w:r>
    </w:p>
    <w:p w:rsidR="00615976" w:rsidRPr="00185A6B" w:rsidRDefault="00524166" w:rsidP="00615976">
      <w:pPr>
        <w:ind w:firstLine="708"/>
        <w:rPr>
          <w:b/>
          <w:bCs/>
        </w:rPr>
      </w:pPr>
      <w:r w:rsidRPr="00185A6B">
        <w:rPr>
          <w:b/>
          <w:bCs/>
        </w:rPr>
        <w:t>Minareleri Yıkın Ayetleri Kaldırın</w:t>
      </w:r>
    </w:p>
    <w:p w:rsidR="00615976" w:rsidRPr="00185A6B" w:rsidRDefault="00220224" w:rsidP="00615976">
      <w:pPr>
        <w:ind w:firstLine="708"/>
        <w:rPr>
          <w:b/>
          <w:bCs/>
        </w:rPr>
      </w:pPr>
      <w:r w:rsidRPr="00185A6B">
        <w:t xml:space="preserve">12 Eylül davası, 28 Şubat’la ilgili gizli kalan arşivleri gün yüzüne çıkardı. Ankara Cumhuriyet Başsavcılığı tarafından yürütülen 28 Şubat darbesiyle ilgili soruşturmada </w:t>
      </w:r>
      <w:r w:rsidR="005D5C74" w:rsidRPr="00185A6B">
        <w:t>post modern</w:t>
      </w:r>
      <w:r w:rsidRPr="00185A6B">
        <w:t xml:space="preserve"> cuntanın icraatlarının belgelerine ulaşıldı. Jandarma Genel Komutanı Orgeneral Teoman Koman tarafından yayınlanan genelgede; ordu birliklerinde bulunan cami ve mescitlerin kaynaklama suretiyle dikilen minarelerinin yıkılması isteniyor. Rütbeli personel ile sivil memurların namaz kılması yasaklanırken tesbih, takke ve cübbelerin toplatılması, mescit duvarlarında bulunan Kur’an ayetlerinin kaldırılması emrediliyor.</w:t>
      </w:r>
    </w:p>
    <w:p w:rsidR="00615976" w:rsidRPr="00185A6B" w:rsidRDefault="00220224" w:rsidP="00615976">
      <w:pPr>
        <w:ind w:firstLine="708"/>
        <w:rPr>
          <w:b/>
          <w:bCs/>
        </w:rPr>
      </w:pPr>
      <w:r w:rsidRPr="00185A6B">
        <w:rPr>
          <w:b/>
          <w:bCs/>
        </w:rPr>
        <w:t>Sıra Türkiye’ye Gelecek</w:t>
      </w:r>
    </w:p>
    <w:p w:rsidR="005D5C74" w:rsidRDefault="00220224" w:rsidP="00615976">
      <w:pPr>
        <w:ind w:firstLine="708"/>
      </w:pPr>
      <w:r w:rsidRPr="00185A6B">
        <w:t xml:space="preserve">Ankara’nın Suriye politikasını eleştiren İran Genelkurmay Başkanı Hasan </w:t>
      </w:r>
      <w:proofErr w:type="spellStart"/>
      <w:r w:rsidRPr="00185A6B">
        <w:t>Firuzabadi</w:t>
      </w:r>
      <w:proofErr w:type="spellEnd"/>
      <w:r w:rsidRPr="00185A6B">
        <w:t>: “Büyük Şeytan’ın (ABD) savaş plânlarına yardımcı olmak, Suriye’ye komşu ülkeler için doğru bir temel değildir. Eğer onlar bu temelde hareket ediyorlarsa, o zaman şunu bilmeliler ki, bir sonraki seferde, sıra Türkiye ve diğer ülkelere gelecektir” ifadelerini kullandı.</w:t>
      </w:r>
    </w:p>
    <w:p w:rsidR="00615976" w:rsidRPr="005D5C74" w:rsidRDefault="00220224" w:rsidP="00615976">
      <w:pPr>
        <w:ind w:firstLine="708"/>
        <w:rPr>
          <w:b/>
          <w:bCs/>
          <w:i/>
          <w:iCs/>
        </w:rPr>
      </w:pPr>
      <w:r w:rsidRPr="005D5C74">
        <w:rPr>
          <w:i/>
          <w:iCs/>
        </w:rPr>
        <w:lastRenderedPageBreak/>
        <w:t>Irak ve Suriye’den sonra İran ile de arası bozulan Türkiye’nin, komşuları ile arası her geçen gün açılmaya başladı. Hâlbuki Allah (</w:t>
      </w:r>
      <w:proofErr w:type="spellStart"/>
      <w:r w:rsidRPr="005D5C74">
        <w:rPr>
          <w:i/>
          <w:iCs/>
        </w:rPr>
        <w:t>c.c</w:t>
      </w:r>
      <w:proofErr w:type="spellEnd"/>
      <w:r w:rsidRPr="005D5C74">
        <w:rPr>
          <w:i/>
          <w:iCs/>
        </w:rPr>
        <w:t>.), Müslümanların Müslümanlarla kardeş ve dost olmasını, kâfirleri dost ve yandaş edinmemelerini emretmektedir.</w:t>
      </w:r>
    </w:p>
    <w:p w:rsidR="00615976" w:rsidRPr="00185A6B" w:rsidRDefault="00220224" w:rsidP="00615976">
      <w:pPr>
        <w:ind w:firstLine="708"/>
        <w:rPr>
          <w:b/>
          <w:bCs/>
        </w:rPr>
      </w:pPr>
      <w:r w:rsidRPr="00185A6B">
        <w:rPr>
          <w:b/>
          <w:bCs/>
        </w:rPr>
        <w:t>En Fazla Boşanmanın Olduğu İl</w:t>
      </w:r>
    </w:p>
    <w:p w:rsidR="00615976" w:rsidRPr="00185A6B" w:rsidRDefault="00220224" w:rsidP="00615976">
      <w:pPr>
        <w:ind w:firstLine="708"/>
        <w:rPr>
          <w:b/>
          <w:bCs/>
        </w:rPr>
      </w:pPr>
      <w:r w:rsidRPr="00185A6B">
        <w:t>Türkiye’de evlenme boşanma araştırmasının sonuçlarını açıklayan Türkiye İstatistik Kurumu (TÜİK), 2011 yılında İzmir’de 31 bin 756 evlenmeye karşılık 11 bin 149 boşanma olduğunu tespit etti. Sıralamada Antalya ikinci, Muğla üçüncü oldu. Bu üç şehir de denizin, tatilin, lüks yaşamın sembolü. Tabi bunların yanı sıra gece hayatının, serbest yaşamın en hoşgörülü şehirleri. Sonuçlar pek şaşırtıcı olmasa gerek!</w:t>
      </w:r>
    </w:p>
    <w:p w:rsidR="00615976" w:rsidRPr="00185A6B" w:rsidRDefault="00220224" w:rsidP="00615976">
      <w:pPr>
        <w:ind w:firstLine="708"/>
        <w:rPr>
          <w:b/>
          <w:bCs/>
        </w:rPr>
      </w:pPr>
      <w:r w:rsidRPr="00185A6B">
        <w:rPr>
          <w:b/>
          <w:bCs/>
        </w:rPr>
        <w:t>“Aldatma Sürekli Olmadığından Boşanma Talebinin Reddine...”</w:t>
      </w:r>
    </w:p>
    <w:p w:rsidR="005D5C74" w:rsidRDefault="00220224" w:rsidP="00615976">
      <w:pPr>
        <w:ind w:firstLine="708"/>
      </w:pPr>
      <w:r w:rsidRPr="00185A6B">
        <w:t>Hürriyet gazetesinin haberine göre bir boşanma davasında üst mahkeme, yerel mahkemenin verdiği boşanma kararını oy birliği ile bozarken, gerekçe olarak şu hükme yer verdi:</w:t>
      </w:r>
    </w:p>
    <w:p w:rsidR="005D5C74" w:rsidRDefault="00220224" w:rsidP="00615976">
      <w:pPr>
        <w:ind w:firstLine="708"/>
      </w:pPr>
      <w:r w:rsidRPr="00185A6B">
        <w:t>“Davacı kocanın boşanma davası ‘haysiyetsiz hayat sürme’ sebebine dayanmaktadır. Haysiyetsiz hayat sür</w:t>
      </w:r>
      <w:bookmarkStart w:id="0" w:name="_GoBack"/>
      <w:bookmarkEnd w:id="0"/>
      <w:r w:rsidRPr="00185A6B">
        <w:t>menin varlığından söz edilebilmesi ve bu sebeple boşanma kararı verilebilmesi için eşin sosyal hayatta, toplumun genel değer yargıları ile çatışan olumsuz nitelikte kabul edilen davranışının süreklilik göstermesi ve bu davranışın diğer eş için birlikte yaşamayı ondan beklenemez hale getirmesi gereklidir. Davalı kadının bir başka erkekle cep telefonu ile konuştuğu ve mesajlaştığı, toplanan delillerle anlaşılmaktadır. Süreklilik göstermeyen bir defalık bir davranış Türk Medeni Kanunu’nun 166. maddesindeki evlilik birliğinin temelden sarsılması durumu için yeterli olabilirse de haysiyetsiz hayat sürme sebebine dayalı boşanma kararı için yeterli değildir.”</w:t>
      </w:r>
    </w:p>
    <w:p w:rsidR="005D5C74" w:rsidRDefault="00220224" w:rsidP="00615976">
      <w:pPr>
        <w:ind w:firstLine="708"/>
      </w:pPr>
      <w:r w:rsidRPr="00185A6B">
        <w:t>Birçok hukukçu da dava; “zina sebebiyle değil haysiyetsiz hayat sürme sebebiyle açıldığı için verilen karar doğrudur” diyor.</w:t>
      </w:r>
    </w:p>
    <w:p w:rsidR="00220224" w:rsidRPr="005D5C74" w:rsidRDefault="00220224" w:rsidP="00615976">
      <w:pPr>
        <w:ind w:firstLine="708"/>
        <w:rPr>
          <w:b/>
          <w:bCs/>
          <w:i/>
          <w:iCs/>
        </w:rPr>
      </w:pPr>
      <w:r w:rsidRPr="005D5C74">
        <w:rPr>
          <w:i/>
          <w:iCs/>
        </w:rPr>
        <w:t xml:space="preserve">Yani sonuç olarak anlamamız gereken şudur ki; bırakın bekârı, evlinin bile zinası medeni kanuna göre sürekli </w:t>
      </w:r>
      <w:r w:rsidR="00FB0EDD" w:rsidRPr="005D5C74">
        <w:rPr>
          <w:i/>
          <w:iCs/>
        </w:rPr>
        <w:t>değilse “</w:t>
      </w:r>
      <w:r w:rsidRPr="005D5C74">
        <w:rPr>
          <w:i/>
          <w:iCs/>
        </w:rPr>
        <w:t>haysiyetsiz hayat” sürme sayılmamaktadır!</w:t>
      </w:r>
    </w:p>
    <w:p w:rsidR="00524166" w:rsidRPr="00185A6B" w:rsidRDefault="00524166" w:rsidP="00524166"/>
    <w:p w:rsidR="00220224" w:rsidRPr="00185A6B" w:rsidRDefault="00220224" w:rsidP="00524166"/>
    <w:p w:rsidR="00524166" w:rsidRPr="00185A6B" w:rsidRDefault="00524166" w:rsidP="00524166"/>
    <w:p w:rsidR="00524166" w:rsidRPr="00185A6B" w:rsidRDefault="00524166" w:rsidP="00524166"/>
    <w:p w:rsidR="00524166" w:rsidRPr="00185A6B" w:rsidRDefault="00524166" w:rsidP="00524166"/>
    <w:p w:rsidR="00524166" w:rsidRPr="00185A6B" w:rsidRDefault="00524166" w:rsidP="00524166"/>
    <w:sectPr w:rsidR="00524166" w:rsidRPr="00185A6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FA2" w:rsidRDefault="00F01FA2" w:rsidP="00220224">
      <w:pPr>
        <w:spacing w:after="0" w:line="240" w:lineRule="auto"/>
      </w:pPr>
      <w:r>
        <w:separator/>
      </w:r>
    </w:p>
  </w:endnote>
  <w:endnote w:type="continuationSeparator" w:id="0">
    <w:p w:rsidR="00F01FA2" w:rsidRDefault="00F01FA2" w:rsidP="00220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224" w:rsidRPr="00615976" w:rsidRDefault="00220224" w:rsidP="00220224">
    <w:pPr>
      <w:pStyle w:val="AltBilgi"/>
      <w:rPr>
        <w:b/>
        <w:bCs/>
      </w:rPr>
    </w:pPr>
    <w:r w:rsidRPr="00615976">
      <w:rPr>
        <w:b/>
        <w:bCs/>
      </w:rPr>
      <w:t>FND 16. Sayı – Ağustos 2012</w:t>
    </w:r>
    <w:r w:rsidRPr="00615976">
      <w:rPr>
        <w:b/>
        <w:bCs/>
      </w:rPr>
      <w:tab/>
    </w:r>
    <w:r w:rsidRPr="00615976">
      <w:rPr>
        <w:b/>
        <w:bCs/>
      </w:rPr>
      <w:tab/>
    </w:r>
    <w:hyperlink r:id="rId1" w:history="1">
      <w:r w:rsidRPr="00615976">
        <w:rPr>
          <w:rStyle w:val="Kpr"/>
          <w:b/>
          <w:bCs/>
        </w:rPr>
        <w:t>www.furkannesli.net</w:t>
      </w:r>
    </w:hyperlink>
    <w:r w:rsidRPr="00615976">
      <w:rPr>
        <w:b/>
        <w:bCs/>
      </w:rPr>
      <w:t xml:space="preserve"> </w:t>
    </w:r>
  </w:p>
  <w:p w:rsidR="00220224" w:rsidRDefault="0022022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FA2" w:rsidRDefault="00F01FA2" w:rsidP="00220224">
      <w:pPr>
        <w:spacing w:after="0" w:line="240" w:lineRule="auto"/>
      </w:pPr>
      <w:r>
        <w:separator/>
      </w:r>
    </w:p>
  </w:footnote>
  <w:footnote w:type="continuationSeparator" w:id="0">
    <w:p w:rsidR="00F01FA2" w:rsidRDefault="00F01FA2" w:rsidP="002202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48C"/>
    <w:rsid w:val="00185A6B"/>
    <w:rsid w:val="001F5220"/>
    <w:rsid w:val="00220224"/>
    <w:rsid w:val="003D748C"/>
    <w:rsid w:val="00524166"/>
    <w:rsid w:val="00530563"/>
    <w:rsid w:val="005D5C74"/>
    <w:rsid w:val="00615976"/>
    <w:rsid w:val="00A05786"/>
    <w:rsid w:val="00D314CB"/>
    <w:rsid w:val="00EA396C"/>
    <w:rsid w:val="00F01FA2"/>
    <w:rsid w:val="00FB0ED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78E75"/>
  <w15:chartTrackingRefBased/>
  <w15:docId w15:val="{9FF0C919-FB52-492F-957D-18C707C11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2022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20224"/>
  </w:style>
  <w:style w:type="paragraph" w:styleId="AltBilgi">
    <w:name w:val="footer"/>
    <w:basedOn w:val="Normal"/>
    <w:link w:val="AltBilgiChar"/>
    <w:uiPriority w:val="99"/>
    <w:unhideWhenUsed/>
    <w:rsid w:val="0022022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20224"/>
  </w:style>
  <w:style w:type="character" w:styleId="Kpr">
    <w:name w:val="Hyperlink"/>
    <w:basedOn w:val="VarsaylanParagrafYazTipi"/>
    <w:uiPriority w:val="99"/>
    <w:unhideWhenUsed/>
    <w:rsid w:val="002202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1304</Words>
  <Characters>7433</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HP</cp:lastModifiedBy>
  <cp:revision>7</cp:revision>
  <dcterms:created xsi:type="dcterms:W3CDTF">2020-03-24T20:48:00Z</dcterms:created>
  <dcterms:modified xsi:type="dcterms:W3CDTF">2020-05-14T08:38:00Z</dcterms:modified>
</cp:coreProperties>
</file>