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352D" w14:textId="25FB384E" w:rsidR="002F56A5" w:rsidRPr="002F56A5" w:rsidRDefault="002F56A5" w:rsidP="002F56A5">
      <w:pPr>
        <w:jc w:val="right"/>
        <w:rPr>
          <w:b/>
          <w:bCs/>
        </w:rPr>
      </w:pPr>
      <w:r w:rsidRPr="002F56A5">
        <w:rPr>
          <w:b/>
          <w:bCs/>
        </w:rPr>
        <w:t>YILIN HEDEFİ</w:t>
      </w:r>
    </w:p>
    <w:p w14:paraId="0C148864" w14:textId="7920F09A" w:rsidR="00B46A74" w:rsidRPr="002F56A5" w:rsidRDefault="000723DA" w:rsidP="002F56A5">
      <w:pPr>
        <w:jc w:val="center"/>
        <w:rPr>
          <w:b/>
          <w:bCs/>
        </w:rPr>
      </w:pPr>
      <w:r w:rsidRPr="002F56A5">
        <w:rPr>
          <w:b/>
          <w:bCs/>
        </w:rPr>
        <w:t>AYET VE HADİSLERLE</w:t>
      </w:r>
      <w:bookmarkStart w:id="0" w:name="_GoBack"/>
      <w:bookmarkEnd w:id="0"/>
      <w:r w:rsidRPr="002F56A5">
        <w:rPr>
          <w:b/>
          <w:bCs/>
        </w:rPr>
        <w:t xml:space="preserve"> KUR’AN</w:t>
      </w:r>
      <w:r>
        <w:rPr>
          <w:b/>
          <w:bCs/>
        </w:rPr>
        <w:t xml:space="preserve">-I KERİM </w:t>
      </w:r>
      <w:r w:rsidRPr="002F56A5">
        <w:rPr>
          <w:b/>
          <w:bCs/>
        </w:rPr>
        <w:t>OKUMANIN FAZİLETİ</w:t>
      </w:r>
    </w:p>
    <w:p w14:paraId="1CB562FA" w14:textId="77777777" w:rsidR="00B46A74" w:rsidRPr="002F56A5" w:rsidRDefault="00B46A74" w:rsidP="00B46A74">
      <w:pPr>
        <w:rPr>
          <w:b/>
          <w:bCs/>
        </w:rPr>
      </w:pPr>
      <w:r w:rsidRPr="002F56A5">
        <w:rPr>
          <w:b/>
          <w:bCs/>
        </w:rPr>
        <w:t>AYETLER</w:t>
      </w:r>
    </w:p>
    <w:p w14:paraId="38573FC7" w14:textId="77777777" w:rsidR="002F56A5" w:rsidRPr="002F56A5" w:rsidRDefault="00B46A74" w:rsidP="002F56A5">
      <w:pPr>
        <w:pStyle w:val="ListeParagraf"/>
        <w:numPr>
          <w:ilvl w:val="0"/>
          <w:numId w:val="1"/>
        </w:numPr>
      </w:pPr>
      <w:r>
        <w:t>“O kitap (Kur’an); onda asla şüphe yoktur. O, muttakiler (sakınanlar ve arınmak isteyenler) için bir yol göstericidir”</w:t>
      </w:r>
      <w:r w:rsidRPr="002F56A5">
        <w:rPr>
          <w:vertAlign w:val="superscript"/>
        </w:rPr>
        <w:t>1</w:t>
      </w:r>
    </w:p>
    <w:p w14:paraId="2D47BDAB" w14:textId="77777777" w:rsidR="002F56A5" w:rsidRDefault="00B46A74" w:rsidP="002F56A5">
      <w:pPr>
        <w:pStyle w:val="ListeParagraf"/>
        <w:numPr>
          <w:ilvl w:val="0"/>
          <w:numId w:val="1"/>
        </w:numPr>
      </w:pPr>
      <w:r>
        <w:t>“Gerçekten size Allah’tan bir nur, apaçık bir kitap geldi. Rızasını arayanı Allah onunla kurtuluş yollarına götürür ve onları iradesiyle karanlıklardan aydınlığa çıkarır, dosdoğru bir yola iletir”</w:t>
      </w:r>
      <w:r w:rsidRPr="002F56A5">
        <w:rPr>
          <w:vertAlign w:val="superscript"/>
        </w:rPr>
        <w:t>2</w:t>
      </w:r>
    </w:p>
    <w:p w14:paraId="481A8FE0" w14:textId="77777777" w:rsidR="002F56A5" w:rsidRDefault="00B46A74" w:rsidP="002F56A5">
      <w:pPr>
        <w:pStyle w:val="ListeParagraf"/>
        <w:numPr>
          <w:ilvl w:val="0"/>
          <w:numId w:val="1"/>
        </w:numPr>
      </w:pPr>
      <w:r>
        <w:t>“Biz, Kur’an okunduğu zaman, seninle ahirete inanmayanların arasına gizleyici bir örtü çekeriz. Ayrıca, onu anlamamaları için kalplerine bir kapalılık ve kulaklarına bir ağırlık veririz. Sen, Kur’an’da Rabbinin birliğini yâd ettiğinde onlar, canları sıkılmış bir vaziyette, gerisingeri dönüp giderler”</w:t>
      </w:r>
      <w:r w:rsidRPr="002F56A5">
        <w:rPr>
          <w:vertAlign w:val="superscript"/>
        </w:rPr>
        <w:t>3</w:t>
      </w:r>
    </w:p>
    <w:p w14:paraId="7081604C" w14:textId="77777777" w:rsidR="002F56A5" w:rsidRPr="002F56A5" w:rsidRDefault="00B46A74" w:rsidP="002F56A5">
      <w:pPr>
        <w:rPr>
          <w:b/>
          <w:bCs/>
        </w:rPr>
      </w:pPr>
      <w:r w:rsidRPr="002F56A5">
        <w:rPr>
          <w:b/>
          <w:bCs/>
        </w:rPr>
        <w:t>HADİSLER</w:t>
      </w:r>
    </w:p>
    <w:p w14:paraId="0F48FC2C" w14:textId="77777777" w:rsidR="002F56A5" w:rsidRDefault="00B46A74" w:rsidP="002F56A5">
      <w:pPr>
        <w:pStyle w:val="ListeParagraf"/>
        <w:numPr>
          <w:ilvl w:val="0"/>
          <w:numId w:val="1"/>
        </w:numPr>
      </w:pPr>
      <w:r>
        <w:t xml:space="preserve">Ebu </w:t>
      </w:r>
      <w:proofErr w:type="spellStart"/>
      <w:r>
        <w:t>Ümâme</w:t>
      </w:r>
      <w:proofErr w:type="spellEnd"/>
      <w:r>
        <w:t xml:space="preserve"> Radıyallahu Anh: Ben Rasulullah Sallallahu Aleyhi ve </w:t>
      </w:r>
      <w:proofErr w:type="spellStart"/>
      <w:r>
        <w:t>Sellem’i</w:t>
      </w:r>
      <w:proofErr w:type="spellEnd"/>
      <w:r>
        <w:t>: “Kur’an okuyunuz. Çünkü Kur’an, kıyamet gününde kendisini okuyanlara şefaatçi olarak gelecektir” buyururken işittim, demiştir.</w:t>
      </w:r>
      <w:r w:rsidRPr="002F56A5">
        <w:rPr>
          <w:vertAlign w:val="superscript"/>
        </w:rPr>
        <w:t>4</w:t>
      </w:r>
    </w:p>
    <w:p w14:paraId="2706A1B0" w14:textId="77777777" w:rsidR="002F56A5" w:rsidRDefault="00B46A74" w:rsidP="002F56A5">
      <w:pPr>
        <w:pStyle w:val="ListeParagraf"/>
        <w:numPr>
          <w:ilvl w:val="0"/>
          <w:numId w:val="1"/>
        </w:numPr>
      </w:pPr>
      <w:r>
        <w:t xml:space="preserve">İbni </w:t>
      </w:r>
      <w:proofErr w:type="spellStart"/>
      <w:r>
        <w:t>Mes’ûd</w:t>
      </w:r>
      <w:proofErr w:type="spellEnd"/>
      <w:r>
        <w:t xml:space="preserve"> Radıyallahu Anh’dan rivayet edildiğine göre, Rasulullah Sallallahu Aleyhi ve Sellem şöyle buyurdu: “Kim Kur’an-ı Kerim’den bir harf okursa, onun için bir iyilik sevabı vardır. Her bir iyiliğin karşılığı da on sevaptır. Ben, ‘elif lâm mim’ bir harftir demiyorum; bilâkis elif bir harftir, lâm bir harftir, mim de bir harftir”</w:t>
      </w:r>
      <w:r w:rsidRPr="002F56A5">
        <w:rPr>
          <w:vertAlign w:val="superscript"/>
        </w:rPr>
        <w:t>5</w:t>
      </w:r>
    </w:p>
    <w:p w14:paraId="285B228C" w14:textId="77777777" w:rsidR="002F56A5" w:rsidRDefault="00B46A74" w:rsidP="002F56A5">
      <w:pPr>
        <w:pStyle w:val="ListeParagraf"/>
        <w:numPr>
          <w:ilvl w:val="0"/>
          <w:numId w:val="1"/>
        </w:numPr>
      </w:pPr>
      <w:r>
        <w:t>Ebu Musa el-</w:t>
      </w:r>
      <w:proofErr w:type="spellStart"/>
      <w:r>
        <w:t>Eş’arî</w:t>
      </w:r>
      <w:proofErr w:type="spellEnd"/>
      <w:r>
        <w:t xml:space="preserve"> Radıyallahu Anh’dan rivayet edildiğine göre, Rasulullah Sallallahu Aleyhi ve Sellem şöyle buyurdu: “Kur’an okuyan </w:t>
      </w:r>
      <w:proofErr w:type="spellStart"/>
      <w:r>
        <w:t>mü’min</w:t>
      </w:r>
      <w:proofErr w:type="spellEnd"/>
      <w:r>
        <w:t xml:space="preserve"> portakal gibidir: Kokusu hoş, tadı güzeldir. Kur’an okumayan </w:t>
      </w:r>
      <w:proofErr w:type="spellStart"/>
      <w:r>
        <w:t>mü’min</w:t>
      </w:r>
      <w:proofErr w:type="spellEnd"/>
      <w:r>
        <w:t xml:space="preserve"> hurma gibidir: Kokusu yoktur, tadı ise güzeldir. Kur’an okuyan münafık fesleğen gibidir: Kokusu hoş fakat tadı acıdır. Kur’an okumayan münafık Ebu Cehil karpuzu gibidir: Kokusu yoktur ve tadı da acıdır”</w:t>
      </w:r>
      <w:r w:rsidRPr="002F56A5">
        <w:rPr>
          <w:vertAlign w:val="superscript"/>
        </w:rPr>
        <w:t>6</w:t>
      </w:r>
    </w:p>
    <w:p w14:paraId="74B1F6E8" w14:textId="77777777" w:rsidR="002F56A5" w:rsidRDefault="00B46A74" w:rsidP="002F56A5">
      <w:pPr>
        <w:pStyle w:val="ListeParagraf"/>
        <w:numPr>
          <w:ilvl w:val="0"/>
          <w:numId w:val="1"/>
        </w:numPr>
      </w:pPr>
      <w:r>
        <w:t>İbni Abbâs Radıyallahu Anh’dan rivayet edildiğine göre, Rasulullah Sallallahu Aleyhi ve Sellem şöyle buyurdu: “Kalbinde Kur’an’dan bir miktar bulunmayan kimse harap ev gibidir”</w:t>
      </w:r>
      <w:r w:rsidRPr="002F56A5">
        <w:rPr>
          <w:vertAlign w:val="superscript"/>
        </w:rPr>
        <w:t>7</w:t>
      </w:r>
    </w:p>
    <w:p w14:paraId="63EF1C29" w14:textId="77777777" w:rsidR="002F56A5" w:rsidRDefault="00B46A74" w:rsidP="002F56A5">
      <w:pPr>
        <w:pStyle w:val="ListeParagraf"/>
        <w:numPr>
          <w:ilvl w:val="0"/>
          <w:numId w:val="1"/>
        </w:numPr>
      </w:pPr>
      <w:r>
        <w:t>En-</w:t>
      </w:r>
      <w:proofErr w:type="spellStart"/>
      <w:r>
        <w:t>Nevvas</w:t>
      </w:r>
      <w:proofErr w:type="spellEnd"/>
      <w:r>
        <w:t xml:space="preserve"> b. </w:t>
      </w:r>
      <w:proofErr w:type="spellStart"/>
      <w:r>
        <w:t>Sem’an</w:t>
      </w:r>
      <w:proofErr w:type="spellEnd"/>
      <w:r>
        <w:t xml:space="preserve"> Radıyallahu Anh anlatıyor: Hz. Peygamber’i şöyle derken duydum: “Kıyamet günü Kur’an-ı Kerim ve bu dünyada onunla amel edenler getirilirler. Önlerinde de kendilerini arkadaş edinenleri savunan Bakara ve </w:t>
      </w:r>
      <w:proofErr w:type="spellStart"/>
      <w:r>
        <w:t>Âl</w:t>
      </w:r>
      <w:proofErr w:type="spellEnd"/>
      <w:r>
        <w:t>-i İmran Sureleri bulunur”</w:t>
      </w:r>
      <w:r w:rsidRPr="002F56A5">
        <w:rPr>
          <w:vertAlign w:val="superscript"/>
        </w:rPr>
        <w:t>8</w:t>
      </w:r>
    </w:p>
    <w:p w14:paraId="1C3C63B2" w14:textId="77777777" w:rsidR="002F56A5" w:rsidRDefault="00B46A74" w:rsidP="002F56A5">
      <w:pPr>
        <w:pStyle w:val="ListeParagraf"/>
        <w:numPr>
          <w:ilvl w:val="0"/>
          <w:numId w:val="1"/>
        </w:numPr>
      </w:pPr>
      <w:r>
        <w:t xml:space="preserve">Cabir b. Abdullah Radıyallahu Anh anlatıyor: Hz. Peygamber, </w:t>
      </w:r>
      <w:proofErr w:type="spellStart"/>
      <w:r>
        <w:t>Uhud’da</w:t>
      </w:r>
      <w:proofErr w:type="spellEnd"/>
      <w:r>
        <w:t xml:space="preserve"> öldürülenlerden iki kişiyi bir araya getirdikten sonra: “Bunlardan hangisi Kur’an’la daha fazla haşır neşirdi?” diye sorar; birine işaret edildiği takdirde, önce onun defin işlemini yapardı.</w:t>
      </w:r>
      <w:r w:rsidRPr="002F56A5">
        <w:rPr>
          <w:vertAlign w:val="superscript"/>
        </w:rPr>
        <w:t>9</w:t>
      </w:r>
    </w:p>
    <w:p w14:paraId="6BDC954A" w14:textId="77777777" w:rsidR="002F56A5" w:rsidRDefault="00B46A74" w:rsidP="002F56A5">
      <w:pPr>
        <w:pStyle w:val="ListeParagraf"/>
        <w:numPr>
          <w:ilvl w:val="0"/>
          <w:numId w:val="1"/>
        </w:numPr>
      </w:pPr>
      <w:r>
        <w:t>“Kur’an-ı Kerim’i okuyan ve hükümleriyle amel edenin anne ve babasına kıyamet günü bir taç giydirilir ki, bu tacın ışığı güneşi evlerimizin içinde farz etseniz dünya evlerindeki güneş ışığından daha güzeldir. O hâlde Kur’an-ı Kerim’i bizzat öğrenen hakkında ne düşünürsünüz? (Onun sevabını da siz takdir ediniz)</w:t>
      </w:r>
      <w:r w:rsidRPr="002F56A5">
        <w:rPr>
          <w:vertAlign w:val="superscript"/>
        </w:rPr>
        <w:t>10</w:t>
      </w:r>
    </w:p>
    <w:p w14:paraId="710B6C0C" w14:textId="6AFD69D8" w:rsidR="00B46A74" w:rsidRDefault="00B46A74" w:rsidP="00B46A74">
      <w:pPr>
        <w:pStyle w:val="ListeParagraf"/>
        <w:numPr>
          <w:ilvl w:val="0"/>
          <w:numId w:val="1"/>
        </w:numPr>
      </w:pPr>
      <w:r>
        <w:t>Evlerinizde Kur’an-ı Kerim okumayı çoğaltınız. Çünkü içinde Kur’an-ı Kerim okunmayan evin hayrı az olur, şerri çok olur ve içindekilere dar gelir”</w:t>
      </w:r>
      <w:r w:rsidRPr="002F56A5">
        <w:rPr>
          <w:vertAlign w:val="superscript"/>
        </w:rPr>
        <w:t>11</w:t>
      </w:r>
    </w:p>
    <w:p w14:paraId="5E3D09C2" w14:textId="1C70F119" w:rsidR="00B46A74" w:rsidRPr="002F56A5" w:rsidRDefault="00B46A74" w:rsidP="002F56A5">
      <w:pPr>
        <w:pStyle w:val="ListeParagraf"/>
        <w:numPr>
          <w:ilvl w:val="0"/>
          <w:numId w:val="3"/>
        </w:numPr>
        <w:rPr>
          <w:sz w:val="18"/>
          <w:szCs w:val="18"/>
        </w:rPr>
      </w:pPr>
      <w:r w:rsidRPr="002F56A5">
        <w:rPr>
          <w:sz w:val="18"/>
          <w:szCs w:val="18"/>
        </w:rPr>
        <w:t>Bakara 2</w:t>
      </w:r>
    </w:p>
    <w:p w14:paraId="66AC4BFD" w14:textId="73D7CFC9" w:rsidR="00B46A74" w:rsidRPr="002F56A5" w:rsidRDefault="00B46A74" w:rsidP="002F56A5">
      <w:pPr>
        <w:pStyle w:val="ListeParagraf"/>
        <w:numPr>
          <w:ilvl w:val="0"/>
          <w:numId w:val="3"/>
        </w:numPr>
        <w:rPr>
          <w:sz w:val="18"/>
          <w:szCs w:val="18"/>
        </w:rPr>
      </w:pPr>
      <w:r w:rsidRPr="002F56A5">
        <w:rPr>
          <w:sz w:val="18"/>
          <w:szCs w:val="18"/>
        </w:rPr>
        <w:t>Maide 15, 16</w:t>
      </w:r>
    </w:p>
    <w:p w14:paraId="7AEC140E" w14:textId="4CB8ED64" w:rsidR="00B46A74" w:rsidRPr="002F56A5" w:rsidRDefault="00B46A74" w:rsidP="002F56A5">
      <w:pPr>
        <w:pStyle w:val="ListeParagraf"/>
        <w:numPr>
          <w:ilvl w:val="0"/>
          <w:numId w:val="3"/>
        </w:numPr>
        <w:rPr>
          <w:sz w:val="18"/>
          <w:szCs w:val="18"/>
        </w:rPr>
      </w:pPr>
      <w:proofErr w:type="spellStart"/>
      <w:r w:rsidRPr="002F56A5">
        <w:rPr>
          <w:sz w:val="18"/>
          <w:szCs w:val="18"/>
        </w:rPr>
        <w:t>İsrâ</w:t>
      </w:r>
      <w:proofErr w:type="spellEnd"/>
      <w:r w:rsidRPr="002F56A5">
        <w:rPr>
          <w:sz w:val="18"/>
          <w:szCs w:val="18"/>
        </w:rPr>
        <w:t xml:space="preserve"> 45, 46</w:t>
      </w:r>
    </w:p>
    <w:p w14:paraId="4DCA538C" w14:textId="5E06BAA7" w:rsidR="00B46A74" w:rsidRPr="002F56A5" w:rsidRDefault="00B46A74" w:rsidP="002F56A5">
      <w:pPr>
        <w:pStyle w:val="ListeParagraf"/>
        <w:numPr>
          <w:ilvl w:val="0"/>
          <w:numId w:val="3"/>
        </w:numPr>
        <w:rPr>
          <w:sz w:val="18"/>
          <w:szCs w:val="18"/>
        </w:rPr>
      </w:pPr>
      <w:r w:rsidRPr="002F56A5">
        <w:rPr>
          <w:sz w:val="18"/>
          <w:szCs w:val="18"/>
        </w:rPr>
        <w:t xml:space="preserve">Müslim, </w:t>
      </w:r>
      <w:proofErr w:type="spellStart"/>
      <w:r w:rsidRPr="002F56A5">
        <w:rPr>
          <w:sz w:val="18"/>
          <w:szCs w:val="18"/>
        </w:rPr>
        <w:t>Müsâfirîn</w:t>
      </w:r>
      <w:proofErr w:type="spellEnd"/>
      <w:r w:rsidRPr="002F56A5">
        <w:rPr>
          <w:sz w:val="18"/>
          <w:szCs w:val="18"/>
        </w:rPr>
        <w:t xml:space="preserve"> 252</w:t>
      </w:r>
    </w:p>
    <w:p w14:paraId="65F40271" w14:textId="7E3A5CDD" w:rsidR="00B46A74" w:rsidRPr="002F56A5" w:rsidRDefault="00B46A74" w:rsidP="002F56A5">
      <w:pPr>
        <w:pStyle w:val="ListeParagraf"/>
        <w:numPr>
          <w:ilvl w:val="0"/>
          <w:numId w:val="3"/>
        </w:numPr>
        <w:rPr>
          <w:sz w:val="18"/>
          <w:szCs w:val="18"/>
        </w:rPr>
      </w:pPr>
      <w:proofErr w:type="spellStart"/>
      <w:r w:rsidRPr="002F56A5">
        <w:rPr>
          <w:sz w:val="18"/>
          <w:szCs w:val="18"/>
        </w:rPr>
        <w:t>Tirmizi</w:t>
      </w:r>
      <w:proofErr w:type="spellEnd"/>
      <w:r w:rsidRPr="002F56A5">
        <w:rPr>
          <w:sz w:val="18"/>
          <w:szCs w:val="18"/>
        </w:rPr>
        <w:t xml:space="preserve">, </w:t>
      </w:r>
      <w:proofErr w:type="spellStart"/>
      <w:r w:rsidRPr="002F56A5">
        <w:rPr>
          <w:sz w:val="18"/>
          <w:szCs w:val="18"/>
        </w:rPr>
        <w:t>Fezâilü’l-Kur’ân</w:t>
      </w:r>
      <w:proofErr w:type="spellEnd"/>
      <w:r w:rsidRPr="002F56A5">
        <w:rPr>
          <w:sz w:val="18"/>
          <w:szCs w:val="18"/>
        </w:rPr>
        <w:t xml:space="preserve"> 16</w:t>
      </w:r>
    </w:p>
    <w:p w14:paraId="5D0E880F" w14:textId="3AD21F3E" w:rsidR="00B46A74" w:rsidRPr="002F56A5" w:rsidRDefault="00B46A74" w:rsidP="002F56A5">
      <w:pPr>
        <w:pStyle w:val="ListeParagraf"/>
        <w:numPr>
          <w:ilvl w:val="0"/>
          <w:numId w:val="3"/>
        </w:numPr>
        <w:rPr>
          <w:sz w:val="18"/>
          <w:szCs w:val="18"/>
        </w:rPr>
      </w:pPr>
      <w:r w:rsidRPr="002F56A5">
        <w:rPr>
          <w:sz w:val="18"/>
          <w:szCs w:val="18"/>
        </w:rPr>
        <w:t xml:space="preserve">Buhari, </w:t>
      </w:r>
      <w:proofErr w:type="spellStart"/>
      <w:r w:rsidRPr="002F56A5">
        <w:rPr>
          <w:sz w:val="18"/>
          <w:szCs w:val="18"/>
        </w:rPr>
        <w:t>Et’ime</w:t>
      </w:r>
      <w:proofErr w:type="spellEnd"/>
      <w:r w:rsidRPr="002F56A5">
        <w:rPr>
          <w:sz w:val="18"/>
          <w:szCs w:val="18"/>
        </w:rPr>
        <w:t xml:space="preserve"> 30 </w:t>
      </w:r>
      <w:proofErr w:type="spellStart"/>
      <w:r w:rsidRPr="002F56A5">
        <w:rPr>
          <w:sz w:val="18"/>
          <w:szCs w:val="18"/>
        </w:rPr>
        <w:t>Fezâilü’l-Kur’ân</w:t>
      </w:r>
      <w:proofErr w:type="spellEnd"/>
      <w:r w:rsidRPr="002F56A5">
        <w:rPr>
          <w:sz w:val="18"/>
          <w:szCs w:val="18"/>
        </w:rPr>
        <w:t xml:space="preserve"> 17, Tevhid 36</w:t>
      </w:r>
    </w:p>
    <w:p w14:paraId="11868D94" w14:textId="11FE8061" w:rsidR="00B46A74" w:rsidRPr="002F56A5" w:rsidRDefault="00B46A74" w:rsidP="002F56A5">
      <w:pPr>
        <w:pStyle w:val="ListeParagraf"/>
        <w:numPr>
          <w:ilvl w:val="0"/>
          <w:numId w:val="3"/>
        </w:numPr>
        <w:rPr>
          <w:sz w:val="18"/>
          <w:szCs w:val="18"/>
        </w:rPr>
      </w:pPr>
      <w:proofErr w:type="spellStart"/>
      <w:r w:rsidRPr="002F56A5">
        <w:rPr>
          <w:sz w:val="18"/>
          <w:szCs w:val="18"/>
        </w:rPr>
        <w:t>Tirmizi</w:t>
      </w:r>
      <w:proofErr w:type="spellEnd"/>
      <w:r w:rsidRPr="002F56A5">
        <w:rPr>
          <w:sz w:val="18"/>
          <w:szCs w:val="18"/>
        </w:rPr>
        <w:t xml:space="preserve">, </w:t>
      </w:r>
      <w:proofErr w:type="spellStart"/>
      <w:r w:rsidRPr="002F56A5">
        <w:rPr>
          <w:sz w:val="18"/>
          <w:szCs w:val="18"/>
        </w:rPr>
        <w:t>Fezâilü’l-Kur’ân</w:t>
      </w:r>
      <w:proofErr w:type="spellEnd"/>
      <w:r w:rsidRPr="002F56A5">
        <w:rPr>
          <w:sz w:val="18"/>
          <w:szCs w:val="18"/>
        </w:rPr>
        <w:t xml:space="preserve"> 18</w:t>
      </w:r>
    </w:p>
    <w:p w14:paraId="71F23058" w14:textId="3635ECC0" w:rsidR="00B46A74" w:rsidRPr="002F56A5" w:rsidRDefault="00B46A74" w:rsidP="002F56A5">
      <w:pPr>
        <w:pStyle w:val="ListeParagraf"/>
        <w:numPr>
          <w:ilvl w:val="0"/>
          <w:numId w:val="3"/>
        </w:numPr>
        <w:rPr>
          <w:sz w:val="18"/>
          <w:szCs w:val="18"/>
        </w:rPr>
      </w:pPr>
      <w:r w:rsidRPr="002F56A5">
        <w:rPr>
          <w:sz w:val="18"/>
          <w:szCs w:val="18"/>
        </w:rPr>
        <w:t>Müslim</w:t>
      </w:r>
    </w:p>
    <w:p w14:paraId="7335880B" w14:textId="3DFAD289" w:rsidR="00B46A74" w:rsidRPr="002F56A5" w:rsidRDefault="00B46A74" w:rsidP="002F56A5">
      <w:pPr>
        <w:pStyle w:val="ListeParagraf"/>
        <w:numPr>
          <w:ilvl w:val="0"/>
          <w:numId w:val="3"/>
        </w:numPr>
        <w:rPr>
          <w:sz w:val="18"/>
          <w:szCs w:val="18"/>
        </w:rPr>
      </w:pPr>
      <w:r w:rsidRPr="002F56A5">
        <w:rPr>
          <w:sz w:val="18"/>
          <w:szCs w:val="18"/>
        </w:rPr>
        <w:lastRenderedPageBreak/>
        <w:t xml:space="preserve">Buhari- </w:t>
      </w:r>
      <w:proofErr w:type="spellStart"/>
      <w:r w:rsidRPr="002F56A5">
        <w:rPr>
          <w:sz w:val="18"/>
          <w:szCs w:val="18"/>
        </w:rPr>
        <w:t>Tirmizi</w:t>
      </w:r>
      <w:proofErr w:type="spellEnd"/>
      <w:r w:rsidRPr="002F56A5">
        <w:rPr>
          <w:sz w:val="18"/>
          <w:szCs w:val="18"/>
        </w:rPr>
        <w:t xml:space="preserve">, </w:t>
      </w:r>
      <w:proofErr w:type="spellStart"/>
      <w:r w:rsidRPr="002F56A5">
        <w:rPr>
          <w:sz w:val="18"/>
          <w:szCs w:val="18"/>
        </w:rPr>
        <w:t>Nesai</w:t>
      </w:r>
      <w:proofErr w:type="spellEnd"/>
      <w:r w:rsidRPr="002F56A5">
        <w:rPr>
          <w:sz w:val="18"/>
          <w:szCs w:val="18"/>
        </w:rPr>
        <w:t xml:space="preserve">, </w:t>
      </w:r>
      <w:proofErr w:type="spellStart"/>
      <w:r w:rsidRPr="002F56A5">
        <w:rPr>
          <w:sz w:val="18"/>
          <w:szCs w:val="18"/>
        </w:rPr>
        <w:t>İbn</w:t>
      </w:r>
      <w:proofErr w:type="spellEnd"/>
      <w:r w:rsidRPr="002F56A5">
        <w:rPr>
          <w:sz w:val="18"/>
          <w:szCs w:val="18"/>
        </w:rPr>
        <w:t xml:space="preserve"> Mâce</w:t>
      </w:r>
    </w:p>
    <w:p w14:paraId="67B0F35F" w14:textId="3F766039" w:rsidR="00B46A74" w:rsidRPr="002F56A5" w:rsidRDefault="00B46A74" w:rsidP="002F56A5">
      <w:pPr>
        <w:pStyle w:val="ListeParagraf"/>
        <w:numPr>
          <w:ilvl w:val="0"/>
          <w:numId w:val="3"/>
        </w:numPr>
        <w:rPr>
          <w:sz w:val="18"/>
          <w:szCs w:val="18"/>
        </w:rPr>
      </w:pPr>
      <w:r w:rsidRPr="002F56A5">
        <w:rPr>
          <w:sz w:val="18"/>
          <w:szCs w:val="18"/>
        </w:rPr>
        <w:t xml:space="preserve">Ebu Davud, </w:t>
      </w:r>
      <w:proofErr w:type="spellStart"/>
      <w:r w:rsidRPr="002F56A5">
        <w:rPr>
          <w:sz w:val="18"/>
          <w:szCs w:val="18"/>
        </w:rPr>
        <w:t>Vitr</w:t>
      </w:r>
      <w:proofErr w:type="spellEnd"/>
      <w:r w:rsidRPr="002F56A5">
        <w:rPr>
          <w:sz w:val="18"/>
          <w:szCs w:val="18"/>
        </w:rPr>
        <w:t>, 14; Ahmed, 3/440; Hâkim, “</w:t>
      </w:r>
      <w:proofErr w:type="spellStart"/>
      <w:r w:rsidRPr="002F56A5">
        <w:rPr>
          <w:sz w:val="18"/>
          <w:szCs w:val="18"/>
        </w:rPr>
        <w:t>Müstedrek</w:t>
      </w:r>
      <w:proofErr w:type="spellEnd"/>
      <w:r w:rsidRPr="002F56A5">
        <w:rPr>
          <w:sz w:val="18"/>
          <w:szCs w:val="18"/>
        </w:rPr>
        <w:t>”, 1/567</w:t>
      </w:r>
    </w:p>
    <w:p w14:paraId="2C3F7112" w14:textId="184CAE8B" w:rsidR="00B46A74" w:rsidRPr="002F56A5" w:rsidRDefault="00B46A74" w:rsidP="002F56A5">
      <w:pPr>
        <w:pStyle w:val="ListeParagraf"/>
        <w:numPr>
          <w:ilvl w:val="0"/>
          <w:numId w:val="3"/>
        </w:numPr>
        <w:rPr>
          <w:sz w:val="18"/>
          <w:szCs w:val="18"/>
        </w:rPr>
      </w:pPr>
      <w:proofErr w:type="spellStart"/>
      <w:r w:rsidRPr="002F56A5">
        <w:rPr>
          <w:sz w:val="18"/>
          <w:szCs w:val="18"/>
        </w:rPr>
        <w:t>Suyûtî</w:t>
      </w:r>
      <w:proofErr w:type="spellEnd"/>
      <w:r w:rsidRPr="002F56A5">
        <w:rPr>
          <w:sz w:val="18"/>
          <w:szCs w:val="18"/>
        </w:rPr>
        <w:t>, el-</w:t>
      </w:r>
      <w:proofErr w:type="spellStart"/>
      <w:r w:rsidRPr="002F56A5">
        <w:rPr>
          <w:sz w:val="18"/>
          <w:szCs w:val="18"/>
        </w:rPr>
        <w:t>Câmiu’s</w:t>
      </w:r>
      <w:proofErr w:type="spellEnd"/>
      <w:r w:rsidRPr="002F56A5">
        <w:rPr>
          <w:sz w:val="18"/>
          <w:szCs w:val="18"/>
        </w:rPr>
        <w:t>-</w:t>
      </w:r>
      <w:proofErr w:type="spellStart"/>
      <w:r w:rsidRPr="002F56A5">
        <w:rPr>
          <w:sz w:val="18"/>
          <w:szCs w:val="18"/>
        </w:rPr>
        <w:t>Sağîr</w:t>
      </w:r>
      <w:proofErr w:type="spellEnd"/>
    </w:p>
    <w:sectPr w:rsidR="00B46A74" w:rsidRPr="002F56A5"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B60D" w14:textId="77777777" w:rsidR="00E05BF0" w:rsidRDefault="00E05BF0" w:rsidP="00AA194E">
      <w:pPr>
        <w:spacing w:after="0" w:line="240" w:lineRule="auto"/>
      </w:pPr>
      <w:r>
        <w:separator/>
      </w:r>
    </w:p>
  </w:endnote>
  <w:endnote w:type="continuationSeparator" w:id="0">
    <w:p w14:paraId="79AE98AA" w14:textId="77777777" w:rsidR="00E05BF0" w:rsidRDefault="00E05BF0" w:rsidP="00AA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E962" w14:textId="0475F97D" w:rsidR="00AA194E" w:rsidRPr="00AA194E" w:rsidRDefault="00AA194E">
    <w:pPr>
      <w:pStyle w:val="AltBilgi"/>
      <w:rPr>
        <w:b/>
        <w:bCs/>
      </w:rPr>
    </w:pPr>
    <w:r w:rsidRPr="00AA194E">
      <w:rPr>
        <w:b/>
        <w:bCs/>
      </w:rPr>
      <w:t xml:space="preserve">FND 79. Sayı – Kasım 2017                                                                             </w:t>
    </w:r>
    <w:r>
      <w:rPr>
        <w:b/>
        <w:bCs/>
      </w:rPr>
      <w:t xml:space="preserve"> </w:t>
    </w:r>
    <w:r w:rsidRPr="00AA194E">
      <w:rPr>
        <w:b/>
        <w:bCs/>
      </w:rPr>
      <w:t xml:space="preserve">                 </w:t>
    </w:r>
    <w:hyperlink r:id="rId1" w:history="1">
      <w:r w:rsidRPr="00A23236">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A686" w14:textId="77777777" w:rsidR="00E05BF0" w:rsidRDefault="00E05BF0" w:rsidP="00AA194E">
      <w:pPr>
        <w:spacing w:after="0" w:line="240" w:lineRule="auto"/>
      </w:pPr>
      <w:r>
        <w:separator/>
      </w:r>
    </w:p>
  </w:footnote>
  <w:footnote w:type="continuationSeparator" w:id="0">
    <w:p w14:paraId="0CF59241" w14:textId="77777777" w:rsidR="00E05BF0" w:rsidRDefault="00E05BF0" w:rsidP="00AA1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DD"/>
    <w:multiLevelType w:val="hybridMultilevel"/>
    <w:tmpl w:val="2DA0CB28"/>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5415D"/>
    <w:multiLevelType w:val="hybridMultilevel"/>
    <w:tmpl w:val="9F340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DD66E6"/>
    <w:multiLevelType w:val="hybridMultilevel"/>
    <w:tmpl w:val="15B06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CD"/>
    <w:rsid w:val="000723DA"/>
    <w:rsid w:val="001D59FC"/>
    <w:rsid w:val="002F56A5"/>
    <w:rsid w:val="004E78CD"/>
    <w:rsid w:val="00546317"/>
    <w:rsid w:val="00910578"/>
    <w:rsid w:val="00AA194E"/>
    <w:rsid w:val="00B46A74"/>
    <w:rsid w:val="00E05BF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4843"/>
  <w15:chartTrackingRefBased/>
  <w15:docId w15:val="{8A03F375-8F46-4BAD-80BD-0E852B6D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6A74"/>
    <w:rPr>
      <w:color w:val="0563C1" w:themeColor="hyperlink"/>
      <w:u w:val="single"/>
    </w:rPr>
  </w:style>
  <w:style w:type="character" w:styleId="zmlenmeyenBahsetme">
    <w:name w:val="Unresolved Mention"/>
    <w:basedOn w:val="VarsaylanParagrafYazTipi"/>
    <w:uiPriority w:val="99"/>
    <w:semiHidden/>
    <w:unhideWhenUsed/>
    <w:rsid w:val="00B46A74"/>
    <w:rPr>
      <w:color w:val="808080"/>
      <w:shd w:val="clear" w:color="auto" w:fill="E6E6E6"/>
    </w:rPr>
  </w:style>
  <w:style w:type="paragraph" w:styleId="ListeParagraf">
    <w:name w:val="List Paragraph"/>
    <w:basedOn w:val="Normal"/>
    <w:uiPriority w:val="34"/>
    <w:qFormat/>
    <w:rsid w:val="00B46A74"/>
    <w:pPr>
      <w:ind w:left="720"/>
      <w:contextualSpacing/>
    </w:pPr>
  </w:style>
  <w:style w:type="paragraph" w:styleId="stBilgi">
    <w:name w:val="header"/>
    <w:basedOn w:val="Normal"/>
    <w:link w:val="stBilgiChar"/>
    <w:uiPriority w:val="99"/>
    <w:unhideWhenUsed/>
    <w:rsid w:val="00AA19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194E"/>
    <w:rPr>
      <w:lang w:val="tr-TR"/>
    </w:rPr>
  </w:style>
  <w:style w:type="paragraph" w:styleId="AltBilgi">
    <w:name w:val="footer"/>
    <w:basedOn w:val="Normal"/>
    <w:link w:val="AltBilgiChar"/>
    <w:uiPriority w:val="99"/>
    <w:unhideWhenUsed/>
    <w:rsid w:val="00AA19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194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2018-10-12T13:19:00Z</dcterms:created>
  <dcterms:modified xsi:type="dcterms:W3CDTF">2020-05-07T13:29:00Z</dcterms:modified>
</cp:coreProperties>
</file>